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E034BF">
      <w:r>
        <w:rPr>
          <w:noProof/>
          <w:lang w:eastAsia="en-AU"/>
        </w:rPr>
        <w:drawing>
          <wp:anchor distT="0" distB="0" distL="114300" distR="114300" simplePos="0" relativeHeight="251671552" behindDoc="1" locked="0" layoutInCell="1" allowOverlap="1" wp14:anchorId="13D15E2D" wp14:editId="6216A310">
            <wp:simplePos x="0" y="0"/>
            <wp:positionH relativeFrom="column">
              <wp:posOffset>-923925</wp:posOffset>
            </wp:positionH>
            <wp:positionV relativeFrom="paragraph">
              <wp:posOffset>-904874</wp:posOffset>
            </wp:positionV>
            <wp:extent cx="7581900" cy="8801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7933"/>
                    <a:stretch/>
                  </pic:blipFill>
                  <pic:spPr bwMode="auto">
                    <a:xfrm>
                      <a:off x="0" y="0"/>
                      <a:ext cx="7582455" cy="88017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41C486CA" wp14:editId="2B73C821">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5F05C7" w:rsidRDefault="005F05C7"/>
    <w:p w:rsidR="00074BFD" w:rsidRDefault="00E4595F">
      <w:pPr>
        <w:rPr>
          <w:noProof/>
          <w:lang w:eastAsia="en-AU"/>
        </w:rPr>
      </w:pPr>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-391628</wp:posOffset>
                </wp:positionH>
                <wp:positionV relativeFrom="paragraph">
                  <wp:posOffset>190266</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E4595F" w:rsidRPr="00C4727C" w:rsidRDefault="00E4595F" w:rsidP="00E4595F">
                            <w:pPr>
                              <w:widowControl w:val="0"/>
                              <w:spacing w:before="240" w:after="60" w:line="240" w:lineRule="auto"/>
                              <w:jc w:val="both"/>
                              <w:outlineLvl w:val="0"/>
                              <w:rPr>
                                <w:rFonts w:ascii="Calibri" w:eastAsia="Times New Roman" w:hAnsi="Calibri" w:cs="Arial"/>
                                <w:b/>
                                <w:bCs/>
                                <w:color w:val="0064A8"/>
                                <w:kern w:val="28"/>
                                <w:sz w:val="20"/>
                                <w:szCs w:val="20"/>
                                <w:lang w:val="en-US"/>
                              </w:rPr>
                            </w:pPr>
                            <w:r w:rsidRPr="00C4727C">
                              <w:rPr>
                                <w:rFonts w:ascii="Calibri" w:eastAsia="Times New Roman" w:hAnsi="Calibri" w:cs="Arial"/>
                                <w:b/>
                                <w:bCs/>
                                <w:noProof/>
                                <w:color w:val="0064A8"/>
                                <w:kern w:val="28"/>
                                <w:sz w:val="40"/>
                                <w:szCs w:val="32"/>
                                <w:lang w:eastAsia="en-AU"/>
                              </w:rPr>
                              <w:t>BUSINESS TENANCIES</w:t>
                            </w:r>
                          </w:p>
                          <w:p w:rsidR="00E4595F" w:rsidRPr="00C4727C" w:rsidRDefault="00E4595F" w:rsidP="00E4595F">
                            <w:pPr>
                              <w:widowControl w:val="0"/>
                              <w:spacing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The </w:t>
                            </w:r>
                            <w:r w:rsidRPr="00C4727C">
                              <w:rPr>
                                <w:rFonts w:ascii="Calibri" w:eastAsia="Times New Roman" w:hAnsi="Calibri" w:cs="Times New Roman"/>
                                <w:i/>
                                <w:lang w:val="en-US"/>
                              </w:rPr>
                              <w:t>Business Tenancies (Fair Dealings) Act</w:t>
                            </w:r>
                            <w:r w:rsidRPr="00C4727C">
                              <w:rPr>
                                <w:rFonts w:ascii="Calibri" w:eastAsia="Times New Roman" w:hAnsi="Calibri" w:cs="Times New Roman"/>
                                <w:lang w:val="en-US"/>
                              </w:rPr>
                              <w:t xml:space="preserve"> commenced on 1 July 2004.  This legislation gives small retailers a more balanced bargaining position when they negotiate their leases with landlords.</w:t>
                            </w:r>
                          </w:p>
                          <w:p w:rsidR="00E4595F" w:rsidRPr="00C4727C" w:rsidRDefault="00E4595F" w:rsidP="00E4595F">
                            <w:pPr>
                              <w:widowControl w:val="0"/>
                              <w:jc w:val="both"/>
                              <w:rPr>
                                <w:rFonts w:ascii="Calibri" w:eastAsia="Times New Roman" w:hAnsi="Calibri" w:cs="Times New Roman"/>
                                <w:bCs/>
                                <w:lang w:val="en-US"/>
                              </w:rPr>
                            </w:pPr>
                            <w:r w:rsidRPr="00C4727C">
                              <w:rPr>
                                <w:rFonts w:ascii="Calibri" w:eastAsia="Times New Roman" w:hAnsi="Calibri" w:cs="Times New Roman"/>
                                <w:bCs/>
                                <w:lang w:val="en-US"/>
                              </w:rPr>
                              <w:t>The key features of the Act are:</w:t>
                            </w:r>
                            <w:bookmarkStart w:id="0" w:name="_GoBack"/>
                            <w:bookmarkEnd w:id="0"/>
                          </w:p>
                          <w:p w:rsidR="00E4595F" w:rsidRPr="00C4727C" w:rsidRDefault="00E4595F" w:rsidP="00E4595F">
                            <w:pPr>
                              <w:keepNext/>
                              <w:widowControl w:val="0"/>
                              <w:spacing w:after="0" w:line="240" w:lineRule="auto"/>
                              <w:jc w:val="both"/>
                              <w:outlineLvl w:val="1"/>
                              <w:rPr>
                                <w:rFonts w:ascii="Calibri" w:eastAsia="Times New Roman" w:hAnsi="Calibri" w:cs="Arial"/>
                                <w:b/>
                                <w:bCs/>
                                <w:iCs/>
                                <w:color w:val="0064A8"/>
                                <w:sz w:val="28"/>
                                <w:szCs w:val="28"/>
                                <w:lang w:val="en-US"/>
                              </w:rPr>
                            </w:pPr>
                            <w:r w:rsidRPr="00C4727C">
                              <w:rPr>
                                <w:rFonts w:ascii="Calibri" w:eastAsia="Times New Roman" w:hAnsi="Calibri" w:cs="Arial"/>
                                <w:b/>
                                <w:bCs/>
                                <w:iCs/>
                                <w:color w:val="0064A8"/>
                                <w:sz w:val="28"/>
                                <w:szCs w:val="28"/>
                                <w:lang w:val="en-US"/>
                              </w:rPr>
                              <w:t>A ban on ratchet clauses</w:t>
                            </w: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Ratchet clauses mean rents can go up but never down, which sometimes maintains rents at unrealistic levels. Banning ratchet clauses means rents should reflect market value by rising and falling in line with the economy.</w:t>
                            </w:r>
                          </w:p>
                          <w:p w:rsidR="00E4595F" w:rsidRPr="00C4727C" w:rsidRDefault="00E4595F" w:rsidP="00E4595F">
                            <w:pPr>
                              <w:widowControl w:val="0"/>
                              <w:spacing w:after="0" w:line="240" w:lineRule="auto"/>
                              <w:jc w:val="both"/>
                              <w:rPr>
                                <w:rFonts w:ascii="Calibri" w:eastAsia="Times New Roman" w:hAnsi="Calibri" w:cs="Times New Roman"/>
                                <w:lang w:val="en-US"/>
                              </w:rPr>
                            </w:pPr>
                          </w:p>
                          <w:p w:rsidR="00E4595F" w:rsidRPr="00C4727C" w:rsidRDefault="00E4595F" w:rsidP="00E4595F">
                            <w:pPr>
                              <w:keepNext/>
                              <w:widowControl w:val="0"/>
                              <w:spacing w:after="0"/>
                              <w:jc w:val="both"/>
                              <w:outlineLvl w:val="1"/>
                              <w:rPr>
                                <w:rFonts w:ascii="Calibri" w:eastAsia="Times New Roman" w:hAnsi="Calibri" w:cs="Arial"/>
                                <w:b/>
                                <w:bCs/>
                                <w:iCs/>
                                <w:color w:val="0064A8"/>
                                <w:sz w:val="28"/>
                                <w:szCs w:val="28"/>
                                <w:lang w:val="en-US"/>
                              </w:rPr>
                            </w:pPr>
                            <w:r w:rsidRPr="00C4727C">
                              <w:rPr>
                                <w:rFonts w:ascii="Calibri" w:eastAsia="Times New Roman" w:hAnsi="Calibri" w:cs="Arial"/>
                                <w:b/>
                                <w:bCs/>
                                <w:iCs/>
                                <w:color w:val="0064A8"/>
                                <w:sz w:val="28"/>
                                <w:szCs w:val="28"/>
                                <w:lang w:val="en-US"/>
                              </w:rPr>
                              <w:t>Mandatory disclosure statements</w:t>
                            </w: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Mandatory disclosure statements will keep dealings between tenants and landlords open and fair. The statements will include details such as costs and expenses for tenants, rent calculations and reviews, and outgoings to be paid by the tenant. </w:t>
                            </w:r>
                          </w:p>
                          <w:p w:rsidR="00E4595F" w:rsidRPr="00C4727C" w:rsidRDefault="00E4595F" w:rsidP="00E4595F">
                            <w:pPr>
                              <w:widowControl w:val="0"/>
                              <w:spacing w:after="0" w:line="240" w:lineRule="auto"/>
                              <w:jc w:val="both"/>
                              <w:rPr>
                                <w:rFonts w:ascii="Calibri" w:eastAsia="Times New Roman" w:hAnsi="Calibri" w:cs="Times New Roman"/>
                                <w:lang w:val="en-US"/>
                              </w:rPr>
                            </w:pPr>
                          </w:p>
                          <w:p w:rsidR="00E4595F" w:rsidRPr="00C4727C" w:rsidRDefault="00E4595F" w:rsidP="00E4595F">
                            <w:pPr>
                              <w:keepNext/>
                              <w:widowControl w:val="0"/>
                              <w:spacing w:after="0"/>
                              <w:jc w:val="both"/>
                              <w:outlineLvl w:val="1"/>
                              <w:rPr>
                                <w:rFonts w:ascii="Calibri" w:eastAsia="Times New Roman" w:hAnsi="Calibri" w:cs="Arial"/>
                                <w:b/>
                                <w:bCs/>
                                <w:iCs/>
                                <w:color w:val="0064A8"/>
                                <w:sz w:val="28"/>
                                <w:szCs w:val="28"/>
                                <w:lang w:val="en-US"/>
                              </w:rPr>
                            </w:pPr>
                            <w:r w:rsidRPr="00C4727C">
                              <w:rPr>
                                <w:rFonts w:ascii="Calibri" w:eastAsia="Times New Roman" w:hAnsi="Calibri" w:cs="Arial"/>
                                <w:b/>
                                <w:bCs/>
                                <w:iCs/>
                                <w:color w:val="0064A8"/>
                                <w:sz w:val="28"/>
                                <w:szCs w:val="28"/>
                                <w:lang w:val="en-US"/>
                              </w:rPr>
                              <w:t xml:space="preserve">Five-year leases </w:t>
                            </w: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The minimum five-year lease provision brings the Northern Territory into line with other jurisdictions. Five-year leases will improve security of tenure for tenants, and provide certainty to landlords.</w:t>
                            </w:r>
                          </w:p>
                          <w:p w:rsidR="00E4595F" w:rsidRPr="00C4727C" w:rsidRDefault="00E4595F" w:rsidP="00E4595F">
                            <w:pPr>
                              <w:widowControl w:val="0"/>
                              <w:spacing w:after="0" w:line="240" w:lineRule="auto"/>
                              <w:jc w:val="both"/>
                              <w:rPr>
                                <w:rFonts w:ascii="Calibri" w:eastAsia="Times New Roman" w:hAnsi="Calibri" w:cs="Times New Roman"/>
                                <w:lang w:val="en-US"/>
                              </w:rPr>
                            </w:pPr>
                          </w:p>
                          <w:p w:rsidR="00E4595F" w:rsidRPr="00C4727C" w:rsidRDefault="00E4595F" w:rsidP="00E4595F">
                            <w:pPr>
                              <w:keepNext/>
                              <w:widowControl w:val="0"/>
                              <w:spacing w:after="0"/>
                              <w:jc w:val="both"/>
                              <w:outlineLvl w:val="1"/>
                              <w:rPr>
                                <w:rFonts w:ascii="Calibri" w:eastAsia="Times New Roman" w:hAnsi="Calibri" w:cs="Arial"/>
                                <w:b/>
                                <w:bCs/>
                                <w:iCs/>
                                <w:color w:val="0064A8"/>
                                <w:sz w:val="28"/>
                                <w:szCs w:val="28"/>
                                <w:lang w:val="en-US"/>
                              </w:rPr>
                            </w:pPr>
                            <w:r w:rsidRPr="00C4727C">
                              <w:rPr>
                                <w:rFonts w:ascii="Calibri" w:eastAsia="Times New Roman" w:hAnsi="Calibri" w:cs="Arial"/>
                                <w:b/>
                                <w:bCs/>
                                <w:iCs/>
                                <w:color w:val="0064A8"/>
                                <w:sz w:val="28"/>
                                <w:szCs w:val="28"/>
                                <w:lang w:val="en-US"/>
                              </w:rPr>
                              <w:t xml:space="preserve">Mediation </w:t>
                            </w: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The Act provides an impartial Commissioner of Business Tenancies to mediate disputes between tenants and landlords. </w:t>
                            </w:r>
                          </w:p>
                          <w:p w:rsidR="00E4595F" w:rsidRPr="00C4727C" w:rsidRDefault="00E4595F" w:rsidP="00E4595F">
                            <w:pPr>
                              <w:widowControl w:val="0"/>
                              <w:spacing w:after="0" w:line="240" w:lineRule="auto"/>
                              <w:jc w:val="both"/>
                              <w:rPr>
                                <w:rFonts w:ascii="Calibri" w:eastAsia="Times New Roman" w:hAnsi="Calibri" w:cs="Times New Roman"/>
                                <w:lang w:val="en-US"/>
                              </w:rPr>
                            </w:pPr>
                          </w:p>
                          <w:p w:rsidR="00E4595F" w:rsidRPr="00C4727C" w:rsidRDefault="00E4595F" w:rsidP="00E4595F">
                            <w:pPr>
                              <w:keepNext/>
                              <w:widowControl w:val="0"/>
                              <w:spacing w:after="0"/>
                              <w:jc w:val="both"/>
                              <w:outlineLvl w:val="1"/>
                              <w:rPr>
                                <w:rFonts w:ascii="Calibri" w:eastAsia="Times New Roman" w:hAnsi="Calibri" w:cs="Arial"/>
                                <w:b/>
                                <w:bCs/>
                                <w:iCs/>
                                <w:color w:val="0064A8"/>
                                <w:sz w:val="28"/>
                                <w:szCs w:val="28"/>
                                <w:lang w:val="en-US"/>
                              </w:rPr>
                            </w:pPr>
                            <w:r w:rsidRPr="00C4727C">
                              <w:rPr>
                                <w:rFonts w:ascii="Calibri" w:eastAsia="Times New Roman" w:hAnsi="Calibri" w:cs="Arial"/>
                                <w:b/>
                                <w:bCs/>
                                <w:iCs/>
                                <w:color w:val="0064A8"/>
                                <w:sz w:val="28"/>
                                <w:szCs w:val="28"/>
                                <w:lang w:val="en-US"/>
                              </w:rPr>
                              <w:t xml:space="preserve">Compensation claims </w:t>
                            </w: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If landlords disturb or disrupt trading – for example carrying out renovations without adequate notice – tenants may be able to claim compensation.</w:t>
                            </w:r>
                          </w:p>
                          <w:p w:rsidR="00E4595F" w:rsidRPr="00C4727C" w:rsidRDefault="00E4595F" w:rsidP="00E4595F">
                            <w:pPr>
                              <w:widowControl w:val="0"/>
                              <w:spacing w:line="240" w:lineRule="auto"/>
                              <w:jc w:val="both"/>
                              <w:rPr>
                                <w:rFonts w:ascii="Calibri" w:eastAsia="Times New Roman" w:hAnsi="Calibri" w:cs="Times New Roman"/>
                                <w:lang w:val="en-US"/>
                              </w:rPr>
                            </w:pPr>
                          </w:p>
                          <w:p w:rsidR="00E4595F" w:rsidRPr="00C4727C" w:rsidRDefault="00E4595F" w:rsidP="00E4595F">
                            <w:pPr>
                              <w:widowControl w:val="0"/>
                              <w:spacing w:line="240" w:lineRule="auto"/>
                              <w:jc w:val="both"/>
                              <w:rPr>
                                <w:rFonts w:ascii="Calibri" w:eastAsia="Times New Roman" w:hAnsi="Calibri" w:cs="Times New Roman"/>
                                <w:lang w:val="en-US"/>
                              </w:rPr>
                            </w:pPr>
                            <w:r w:rsidRPr="00C4727C">
                              <w:rPr>
                                <w:rFonts w:ascii="Calibri" w:eastAsia="Times New Roman" w:hAnsi="Calibri" w:cs="Times New Roman"/>
                                <w:lang w:val="en-US"/>
                              </w:rPr>
                              <w:t>The legislation covers most businesses providing retail goods or services. The Act applies only to:</w:t>
                            </w:r>
                          </w:p>
                          <w:p w:rsidR="00E4595F" w:rsidRPr="00C4727C" w:rsidRDefault="00E4595F" w:rsidP="00E4595F">
                            <w:pPr>
                              <w:widowControl w:val="0"/>
                              <w:numPr>
                                <w:ilvl w:val="0"/>
                                <w:numId w:val="3"/>
                              </w:numPr>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Leases for less than 1000m2 </w:t>
                            </w:r>
                          </w:p>
                          <w:p w:rsidR="00E4595F" w:rsidRPr="00C4727C" w:rsidRDefault="00E4595F" w:rsidP="00E4595F">
                            <w:pPr>
                              <w:widowControl w:val="0"/>
                              <w:numPr>
                                <w:ilvl w:val="0"/>
                                <w:numId w:val="3"/>
                              </w:numPr>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Leases lasting between six months and 25 years </w:t>
                            </w:r>
                          </w:p>
                          <w:p w:rsidR="00E4595F" w:rsidRPr="00C4727C" w:rsidRDefault="00E4595F" w:rsidP="00E4595F">
                            <w:pPr>
                              <w:widowControl w:val="0"/>
                              <w:numPr>
                                <w:ilvl w:val="0"/>
                                <w:numId w:val="3"/>
                              </w:numPr>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Leases entered into after the Act began on 1 July 2004 </w:t>
                            </w:r>
                          </w:p>
                          <w:p w:rsidR="00E4595F" w:rsidRPr="00C4727C" w:rsidRDefault="00E4595F" w:rsidP="00E4595F">
                            <w:pPr>
                              <w:widowControl w:val="0"/>
                              <w:numPr>
                                <w:ilvl w:val="0"/>
                                <w:numId w:val="3"/>
                              </w:numPr>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Leases where the tenant is not a listed Corporation.</w:t>
                            </w:r>
                          </w:p>
                          <w:p w:rsidR="00E4595F" w:rsidRPr="00C4727C" w:rsidRDefault="00E4595F" w:rsidP="00E4595F">
                            <w:pPr>
                              <w:widowControl w:val="0"/>
                              <w:spacing w:after="0" w:line="240" w:lineRule="auto"/>
                              <w:jc w:val="both"/>
                              <w:rPr>
                                <w:rFonts w:ascii="Calibri" w:eastAsia="Times New Roman" w:hAnsi="Calibri" w:cs="Times New Roman"/>
                                <w:lang w:val="en-US"/>
                              </w:rPr>
                            </w:pP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The </w:t>
                            </w:r>
                            <w:r w:rsidRPr="00C4727C">
                              <w:rPr>
                                <w:rFonts w:ascii="Calibri" w:eastAsia="Times New Roman" w:hAnsi="Calibri" w:cs="Times New Roman"/>
                                <w:i/>
                                <w:lang w:val="en-US"/>
                              </w:rPr>
                              <w:t>Business Tenancies (Fair Dealings) Act</w:t>
                            </w:r>
                            <w:r w:rsidRPr="00C4727C">
                              <w:rPr>
                                <w:rFonts w:ascii="Calibri" w:eastAsia="Times New Roman" w:hAnsi="Calibri" w:cs="Times New Roman"/>
                                <w:lang w:val="en-US"/>
                              </w:rPr>
                              <w:t xml:space="preserve"> provides contemporary retail tenancy legislation to give small business operators a fair go.</w:t>
                            </w:r>
                          </w:p>
                          <w:p w:rsidR="00E4595F" w:rsidRPr="00900874" w:rsidRDefault="00E4595F" w:rsidP="00E4595F">
                            <w:pPr>
                              <w:widowControl w:val="0"/>
                              <w:spacing w:line="240" w:lineRule="auto"/>
                              <w:jc w:val="both"/>
                              <w:rPr>
                                <w:rFonts w:ascii="Calibri" w:eastAsia="Times New Roman" w:hAnsi="Calibri" w:cs="Times New Roman"/>
                                <w:lang w:val="en-US"/>
                              </w:rPr>
                            </w:pPr>
                          </w:p>
                          <w:p w:rsidR="00430AF0" w:rsidRPr="00900874" w:rsidRDefault="00430AF0" w:rsidP="00900874">
                            <w:pPr>
                              <w:widowControl w:val="0"/>
                              <w:spacing w:line="240" w:lineRule="auto"/>
                              <w:rPr>
                                <w:rFonts w:ascii="Calibri" w:eastAsia="Times New Roman" w:hAnsi="Calibri" w:cs="Times New Roman"/>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30.85pt;margin-top:15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" filled="f" stroked="f">
                <v:textbox>
                  <w:txbxContent>
                    <w:p w:rsidR="00E4595F" w:rsidRPr="00C4727C" w:rsidRDefault="00E4595F" w:rsidP="00E4595F">
                      <w:pPr>
                        <w:widowControl w:val="0"/>
                        <w:spacing w:before="240" w:after="60" w:line="240" w:lineRule="auto"/>
                        <w:jc w:val="both"/>
                        <w:outlineLvl w:val="0"/>
                        <w:rPr>
                          <w:rFonts w:ascii="Calibri" w:eastAsia="Times New Roman" w:hAnsi="Calibri" w:cs="Arial"/>
                          <w:b/>
                          <w:bCs/>
                          <w:color w:val="0064A8"/>
                          <w:kern w:val="28"/>
                          <w:sz w:val="20"/>
                          <w:szCs w:val="20"/>
                          <w:lang w:val="en-US"/>
                        </w:rPr>
                      </w:pPr>
                      <w:r w:rsidRPr="00C4727C">
                        <w:rPr>
                          <w:rFonts w:ascii="Calibri" w:eastAsia="Times New Roman" w:hAnsi="Calibri" w:cs="Arial"/>
                          <w:b/>
                          <w:bCs/>
                          <w:noProof/>
                          <w:color w:val="0064A8"/>
                          <w:kern w:val="28"/>
                          <w:sz w:val="40"/>
                          <w:szCs w:val="32"/>
                          <w:lang w:eastAsia="en-AU"/>
                        </w:rPr>
                        <w:t>BUSINESS TENANCIES</w:t>
                      </w:r>
                    </w:p>
                    <w:p w:rsidR="00E4595F" w:rsidRPr="00C4727C" w:rsidRDefault="00E4595F" w:rsidP="00E4595F">
                      <w:pPr>
                        <w:widowControl w:val="0"/>
                        <w:spacing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The </w:t>
                      </w:r>
                      <w:r w:rsidRPr="00C4727C">
                        <w:rPr>
                          <w:rFonts w:ascii="Calibri" w:eastAsia="Times New Roman" w:hAnsi="Calibri" w:cs="Times New Roman"/>
                          <w:i/>
                          <w:lang w:val="en-US"/>
                        </w:rPr>
                        <w:t>Business Tenancies (Fair Dealings) Act</w:t>
                      </w:r>
                      <w:r w:rsidRPr="00C4727C">
                        <w:rPr>
                          <w:rFonts w:ascii="Calibri" w:eastAsia="Times New Roman" w:hAnsi="Calibri" w:cs="Times New Roman"/>
                          <w:lang w:val="en-US"/>
                        </w:rPr>
                        <w:t xml:space="preserve"> commenced on 1 July 2004.  This legislation gives small retailers a more balanced bargaining position when they negotiate their leases with landlords.</w:t>
                      </w:r>
                    </w:p>
                    <w:p w:rsidR="00E4595F" w:rsidRPr="00C4727C" w:rsidRDefault="00E4595F" w:rsidP="00E4595F">
                      <w:pPr>
                        <w:widowControl w:val="0"/>
                        <w:jc w:val="both"/>
                        <w:rPr>
                          <w:rFonts w:ascii="Calibri" w:eastAsia="Times New Roman" w:hAnsi="Calibri" w:cs="Times New Roman"/>
                          <w:bCs/>
                          <w:lang w:val="en-US"/>
                        </w:rPr>
                      </w:pPr>
                      <w:r w:rsidRPr="00C4727C">
                        <w:rPr>
                          <w:rFonts w:ascii="Calibri" w:eastAsia="Times New Roman" w:hAnsi="Calibri" w:cs="Times New Roman"/>
                          <w:bCs/>
                          <w:lang w:val="en-US"/>
                        </w:rPr>
                        <w:t>The key features of the Act are:</w:t>
                      </w:r>
                      <w:bookmarkStart w:id="1" w:name="_GoBack"/>
                      <w:bookmarkEnd w:id="1"/>
                    </w:p>
                    <w:p w:rsidR="00E4595F" w:rsidRPr="00C4727C" w:rsidRDefault="00E4595F" w:rsidP="00E4595F">
                      <w:pPr>
                        <w:keepNext/>
                        <w:widowControl w:val="0"/>
                        <w:spacing w:after="0" w:line="240" w:lineRule="auto"/>
                        <w:jc w:val="both"/>
                        <w:outlineLvl w:val="1"/>
                        <w:rPr>
                          <w:rFonts w:ascii="Calibri" w:eastAsia="Times New Roman" w:hAnsi="Calibri" w:cs="Arial"/>
                          <w:b/>
                          <w:bCs/>
                          <w:iCs/>
                          <w:color w:val="0064A8"/>
                          <w:sz w:val="28"/>
                          <w:szCs w:val="28"/>
                          <w:lang w:val="en-US"/>
                        </w:rPr>
                      </w:pPr>
                      <w:r w:rsidRPr="00C4727C">
                        <w:rPr>
                          <w:rFonts w:ascii="Calibri" w:eastAsia="Times New Roman" w:hAnsi="Calibri" w:cs="Arial"/>
                          <w:b/>
                          <w:bCs/>
                          <w:iCs/>
                          <w:color w:val="0064A8"/>
                          <w:sz w:val="28"/>
                          <w:szCs w:val="28"/>
                          <w:lang w:val="en-US"/>
                        </w:rPr>
                        <w:t>A ban on ratchet clauses</w:t>
                      </w: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Ratchet clauses mean rents can go up but never down, which sometimes maintains rents at unrealistic levels. Banning ratchet clauses means rents should reflect market value by rising and falling in line with the economy.</w:t>
                      </w:r>
                    </w:p>
                    <w:p w:rsidR="00E4595F" w:rsidRPr="00C4727C" w:rsidRDefault="00E4595F" w:rsidP="00E4595F">
                      <w:pPr>
                        <w:widowControl w:val="0"/>
                        <w:spacing w:after="0" w:line="240" w:lineRule="auto"/>
                        <w:jc w:val="both"/>
                        <w:rPr>
                          <w:rFonts w:ascii="Calibri" w:eastAsia="Times New Roman" w:hAnsi="Calibri" w:cs="Times New Roman"/>
                          <w:lang w:val="en-US"/>
                        </w:rPr>
                      </w:pPr>
                    </w:p>
                    <w:p w:rsidR="00E4595F" w:rsidRPr="00C4727C" w:rsidRDefault="00E4595F" w:rsidP="00E4595F">
                      <w:pPr>
                        <w:keepNext/>
                        <w:widowControl w:val="0"/>
                        <w:spacing w:after="0"/>
                        <w:jc w:val="both"/>
                        <w:outlineLvl w:val="1"/>
                        <w:rPr>
                          <w:rFonts w:ascii="Calibri" w:eastAsia="Times New Roman" w:hAnsi="Calibri" w:cs="Arial"/>
                          <w:b/>
                          <w:bCs/>
                          <w:iCs/>
                          <w:color w:val="0064A8"/>
                          <w:sz w:val="28"/>
                          <w:szCs w:val="28"/>
                          <w:lang w:val="en-US"/>
                        </w:rPr>
                      </w:pPr>
                      <w:r w:rsidRPr="00C4727C">
                        <w:rPr>
                          <w:rFonts w:ascii="Calibri" w:eastAsia="Times New Roman" w:hAnsi="Calibri" w:cs="Arial"/>
                          <w:b/>
                          <w:bCs/>
                          <w:iCs/>
                          <w:color w:val="0064A8"/>
                          <w:sz w:val="28"/>
                          <w:szCs w:val="28"/>
                          <w:lang w:val="en-US"/>
                        </w:rPr>
                        <w:t>Mandatory disclosure statements</w:t>
                      </w: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Mandatory disclosure statements will keep dealings between tenants and landlords open and fair. The statements will include details such as costs and expenses for tenants, rent calculations and reviews, and outgoings to be paid by the tenant. </w:t>
                      </w:r>
                    </w:p>
                    <w:p w:rsidR="00E4595F" w:rsidRPr="00C4727C" w:rsidRDefault="00E4595F" w:rsidP="00E4595F">
                      <w:pPr>
                        <w:widowControl w:val="0"/>
                        <w:spacing w:after="0" w:line="240" w:lineRule="auto"/>
                        <w:jc w:val="both"/>
                        <w:rPr>
                          <w:rFonts w:ascii="Calibri" w:eastAsia="Times New Roman" w:hAnsi="Calibri" w:cs="Times New Roman"/>
                          <w:lang w:val="en-US"/>
                        </w:rPr>
                      </w:pPr>
                    </w:p>
                    <w:p w:rsidR="00E4595F" w:rsidRPr="00C4727C" w:rsidRDefault="00E4595F" w:rsidP="00E4595F">
                      <w:pPr>
                        <w:keepNext/>
                        <w:widowControl w:val="0"/>
                        <w:spacing w:after="0"/>
                        <w:jc w:val="both"/>
                        <w:outlineLvl w:val="1"/>
                        <w:rPr>
                          <w:rFonts w:ascii="Calibri" w:eastAsia="Times New Roman" w:hAnsi="Calibri" w:cs="Arial"/>
                          <w:b/>
                          <w:bCs/>
                          <w:iCs/>
                          <w:color w:val="0064A8"/>
                          <w:sz w:val="28"/>
                          <w:szCs w:val="28"/>
                          <w:lang w:val="en-US"/>
                        </w:rPr>
                      </w:pPr>
                      <w:r w:rsidRPr="00C4727C">
                        <w:rPr>
                          <w:rFonts w:ascii="Calibri" w:eastAsia="Times New Roman" w:hAnsi="Calibri" w:cs="Arial"/>
                          <w:b/>
                          <w:bCs/>
                          <w:iCs/>
                          <w:color w:val="0064A8"/>
                          <w:sz w:val="28"/>
                          <w:szCs w:val="28"/>
                          <w:lang w:val="en-US"/>
                        </w:rPr>
                        <w:t xml:space="preserve">Five-year leases </w:t>
                      </w: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The minimum five-year lease provision brings the Northern Territory into line with other jurisdictions. Five-year leases will improve security of tenure for tenants, and provide certainty to landlords.</w:t>
                      </w:r>
                    </w:p>
                    <w:p w:rsidR="00E4595F" w:rsidRPr="00C4727C" w:rsidRDefault="00E4595F" w:rsidP="00E4595F">
                      <w:pPr>
                        <w:widowControl w:val="0"/>
                        <w:spacing w:after="0" w:line="240" w:lineRule="auto"/>
                        <w:jc w:val="both"/>
                        <w:rPr>
                          <w:rFonts w:ascii="Calibri" w:eastAsia="Times New Roman" w:hAnsi="Calibri" w:cs="Times New Roman"/>
                          <w:lang w:val="en-US"/>
                        </w:rPr>
                      </w:pPr>
                    </w:p>
                    <w:p w:rsidR="00E4595F" w:rsidRPr="00C4727C" w:rsidRDefault="00E4595F" w:rsidP="00E4595F">
                      <w:pPr>
                        <w:keepNext/>
                        <w:widowControl w:val="0"/>
                        <w:spacing w:after="0"/>
                        <w:jc w:val="both"/>
                        <w:outlineLvl w:val="1"/>
                        <w:rPr>
                          <w:rFonts w:ascii="Calibri" w:eastAsia="Times New Roman" w:hAnsi="Calibri" w:cs="Arial"/>
                          <w:b/>
                          <w:bCs/>
                          <w:iCs/>
                          <w:color w:val="0064A8"/>
                          <w:sz w:val="28"/>
                          <w:szCs w:val="28"/>
                          <w:lang w:val="en-US"/>
                        </w:rPr>
                      </w:pPr>
                      <w:r w:rsidRPr="00C4727C">
                        <w:rPr>
                          <w:rFonts w:ascii="Calibri" w:eastAsia="Times New Roman" w:hAnsi="Calibri" w:cs="Arial"/>
                          <w:b/>
                          <w:bCs/>
                          <w:iCs/>
                          <w:color w:val="0064A8"/>
                          <w:sz w:val="28"/>
                          <w:szCs w:val="28"/>
                          <w:lang w:val="en-US"/>
                        </w:rPr>
                        <w:t xml:space="preserve">Mediation </w:t>
                      </w: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The Act provides an impartial Commissioner of Business Tenancies to mediate disputes between tenants and landlords. </w:t>
                      </w:r>
                    </w:p>
                    <w:p w:rsidR="00E4595F" w:rsidRPr="00C4727C" w:rsidRDefault="00E4595F" w:rsidP="00E4595F">
                      <w:pPr>
                        <w:widowControl w:val="0"/>
                        <w:spacing w:after="0" w:line="240" w:lineRule="auto"/>
                        <w:jc w:val="both"/>
                        <w:rPr>
                          <w:rFonts w:ascii="Calibri" w:eastAsia="Times New Roman" w:hAnsi="Calibri" w:cs="Times New Roman"/>
                          <w:lang w:val="en-US"/>
                        </w:rPr>
                      </w:pPr>
                    </w:p>
                    <w:p w:rsidR="00E4595F" w:rsidRPr="00C4727C" w:rsidRDefault="00E4595F" w:rsidP="00E4595F">
                      <w:pPr>
                        <w:keepNext/>
                        <w:widowControl w:val="0"/>
                        <w:spacing w:after="0"/>
                        <w:jc w:val="both"/>
                        <w:outlineLvl w:val="1"/>
                        <w:rPr>
                          <w:rFonts w:ascii="Calibri" w:eastAsia="Times New Roman" w:hAnsi="Calibri" w:cs="Arial"/>
                          <w:b/>
                          <w:bCs/>
                          <w:iCs/>
                          <w:color w:val="0064A8"/>
                          <w:sz w:val="28"/>
                          <w:szCs w:val="28"/>
                          <w:lang w:val="en-US"/>
                        </w:rPr>
                      </w:pPr>
                      <w:r w:rsidRPr="00C4727C">
                        <w:rPr>
                          <w:rFonts w:ascii="Calibri" w:eastAsia="Times New Roman" w:hAnsi="Calibri" w:cs="Arial"/>
                          <w:b/>
                          <w:bCs/>
                          <w:iCs/>
                          <w:color w:val="0064A8"/>
                          <w:sz w:val="28"/>
                          <w:szCs w:val="28"/>
                          <w:lang w:val="en-US"/>
                        </w:rPr>
                        <w:t xml:space="preserve">Compensation claims </w:t>
                      </w: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If landlords disturb or disrupt trading – for example carrying out renovations without adequate notice – tenants may be able to claim compensation.</w:t>
                      </w:r>
                    </w:p>
                    <w:p w:rsidR="00E4595F" w:rsidRPr="00C4727C" w:rsidRDefault="00E4595F" w:rsidP="00E4595F">
                      <w:pPr>
                        <w:widowControl w:val="0"/>
                        <w:spacing w:line="240" w:lineRule="auto"/>
                        <w:jc w:val="both"/>
                        <w:rPr>
                          <w:rFonts w:ascii="Calibri" w:eastAsia="Times New Roman" w:hAnsi="Calibri" w:cs="Times New Roman"/>
                          <w:lang w:val="en-US"/>
                        </w:rPr>
                      </w:pPr>
                    </w:p>
                    <w:p w:rsidR="00E4595F" w:rsidRPr="00C4727C" w:rsidRDefault="00E4595F" w:rsidP="00E4595F">
                      <w:pPr>
                        <w:widowControl w:val="0"/>
                        <w:spacing w:line="240" w:lineRule="auto"/>
                        <w:jc w:val="both"/>
                        <w:rPr>
                          <w:rFonts w:ascii="Calibri" w:eastAsia="Times New Roman" w:hAnsi="Calibri" w:cs="Times New Roman"/>
                          <w:lang w:val="en-US"/>
                        </w:rPr>
                      </w:pPr>
                      <w:r w:rsidRPr="00C4727C">
                        <w:rPr>
                          <w:rFonts w:ascii="Calibri" w:eastAsia="Times New Roman" w:hAnsi="Calibri" w:cs="Times New Roman"/>
                          <w:lang w:val="en-US"/>
                        </w:rPr>
                        <w:t>The legislation covers most businesses providing retail goods or services. The Act applies only to:</w:t>
                      </w:r>
                    </w:p>
                    <w:p w:rsidR="00E4595F" w:rsidRPr="00C4727C" w:rsidRDefault="00E4595F" w:rsidP="00E4595F">
                      <w:pPr>
                        <w:widowControl w:val="0"/>
                        <w:numPr>
                          <w:ilvl w:val="0"/>
                          <w:numId w:val="3"/>
                        </w:numPr>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Leases for less than 1000m2 </w:t>
                      </w:r>
                    </w:p>
                    <w:p w:rsidR="00E4595F" w:rsidRPr="00C4727C" w:rsidRDefault="00E4595F" w:rsidP="00E4595F">
                      <w:pPr>
                        <w:widowControl w:val="0"/>
                        <w:numPr>
                          <w:ilvl w:val="0"/>
                          <w:numId w:val="3"/>
                        </w:numPr>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Leases lasting between six months and 25 years </w:t>
                      </w:r>
                    </w:p>
                    <w:p w:rsidR="00E4595F" w:rsidRPr="00C4727C" w:rsidRDefault="00E4595F" w:rsidP="00E4595F">
                      <w:pPr>
                        <w:widowControl w:val="0"/>
                        <w:numPr>
                          <w:ilvl w:val="0"/>
                          <w:numId w:val="3"/>
                        </w:numPr>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Leases entered into after the Act began on 1 July 2004 </w:t>
                      </w:r>
                    </w:p>
                    <w:p w:rsidR="00E4595F" w:rsidRPr="00C4727C" w:rsidRDefault="00E4595F" w:rsidP="00E4595F">
                      <w:pPr>
                        <w:widowControl w:val="0"/>
                        <w:numPr>
                          <w:ilvl w:val="0"/>
                          <w:numId w:val="3"/>
                        </w:numPr>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Leases where the tenant is not a listed Corporation.</w:t>
                      </w:r>
                    </w:p>
                    <w:p w:rsidR="00E4595F" w:rsidRPr="00C4727C" w:rsidRDefault="00E4595F" w:rsidP="00E4595F">
                      <w:pPr>
                        <w:widowControl w:val="0"/>
                        <w:spacing w:after="0" w:line="240" w:lineRule="auto"/>
                        <w:jc w:val="both"/>
                        <w:rPr>
                          <w:rFonts w:ascii="Calibri" w:eastAsia="Times New Roman" w:hAnsi="Calibri" w:cs="Times New Roman"/>
                          <w:lang w:val="en-US"/>
                        </w:rPr>
                      </w:pPr>
                    </w:p>
                    <w:p w:rsidR="00E4595F" w:rsidRPr="00C4727C" w:rsidRDefault="00E4595F" w:rsidP="00E4595F">
                      <w:pPr>
                        <w:widowControl w:val="0"/>
                        <w:spacing w:after="0" w:line="240" w:lineRule="auto"/>
                        <w:jc w:val="both"/>
                        <w:rPr>
                          <w:rFonts w:ascii="Calibri" w:eastAsia="Times New Roman" w:hAnsi="Calibri" w:cs="Times New Roman"/>
                          <w:lang w:val="en-US"/>
                        </w:rPr>
                      </w:pPr>
                      <w:r w:rsidRPr="00C4727C">
                        <w:rPr>
                          <w:rFonts w:ascii="Calibri" w:eastAsia="Times New Roman" w:hAnsi="Calibri" w:cs="Times New Roman"/>
                          <w:lang w:val="en-US"/>
                        </w:rPr>
                        <w:t xml:space="preserve">The </w:t>
                      </w:r>
                      <w:r w:rsidRPr="00C4727C">
                        <w:rPr>
                          <w:rFonts w:ascii="Calibri" w:eastAsia="Times New Roman" w:hAnsi="Calibri" w:cs="Times New Roman"/>
                          <w:i/>
                          <w:lang w:val="en-US"/>
                        </w:rPr>
                        <w:t>Business Tenancies (Fair Dealings) Act</w:t>
                      </w:r>
                      <w:r w:rsidRPr="00C4727C">
                        <w:rPr>
                          <w:rFonts w:ascii="Calibri" w:eastAsia="Times New Roman" w:hAnsi="Calibri" w:cs="Times New Roman"/>
                          <w:lang w:val="en-US"/>
                        </w:rPr>
                        <w:t xml:space="preserve"> provides contemporary retail tenancy legislation to give small business operators a fair go.</w:t>
                      </w:r>
                    </w:p>
                    <w:p w:rsidR="00E4595F" w:rsidRPr="00900874" w:rsidRDefault="00E4595F" w:rsidP="00E4595F">
                      <w:pPr>
                        <w:widowControl w:val="0"/>
                        <w:spacing w:line="240" w:lineRule="auto"/>
                        <w:jc w:val="both"/>
                        <w:rPr>
                          <w:rFonts w:ascii="Calibri" w:eastAsia="Times New Roman" w:hAnsi="Calibri" w:cs="Times New Roman"/>
                          <w:lang w:val="en-US"/>
                        </w:rPr>
                      </w:pPr>
                    </w:p>
                    <w:p w:rsidR="00430AF0" w:rsidRPr="00900874" w:rsidRDefault="00430AF0" w:rsidP="00900874">
                      <w:pPr>
                        <w:widowControl w:val="0"/>
                        <w:spacing w:line="240" w:lineRule="auto"/>
                        <w:rPr>
                          <w:rFonts w:ascii="Calibri" w:eastAsia="Times New Roman" w:hAnsi="Calibri" w:cs="Times New Roman"/>
                          <w:lang w:val="en-US"/>
                        </w:rPr>
                      </w:pPr>
                    </w:p>
                  </w:txbxContent>
                </v:textbox>
              </v:shape>
            </w:pict>
          </mc:Fallback>
        </mc:AlternateContent>
      </w:r>
      <w:r w:rsidR="005E71D8">
        <w:rPr>
          <w:noProof/>
          <w:lang w:eastAsia="en-AU"/>
        </w:rPr>
        <w:br/>
      </w:r>
    </w:p>
    <w:sectPr w:rsidR="00074BFD" w:rsidSect="008E4E57">
      <w:footerReference w:type="default" r:id="rId10"/>
      <w:pgSz w:w="11906" w:h="16838"/>
      <w:pgMar w:top="1440" w:right="1440" w:bottom="1440" w:left="1440" w:header="708" w:footer="25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E57" w:rsidRDefault="008E4E57">
    <w:pPr>
      <w:pStyle w:val="Footer"/>
    </w:pPr>
    <w:r>
      <w:rPr>
        <w:noProof/>
        <w:lang w:eastAsia="en-AU"/>
      </w:rPr>
      <mc:AlternateContent>
        <mc:Choice Requires="wps">
          <w:drawing>
            <wp:anchor distT="0" distB="0" distL="114300" distR="114300" simplePos="0" relativeHeight="251661312" behindDoc="0" locked="0" layoutInCell="1" allowOverlap="1" wp14:anchorId="6B44F962" wp14:editId="50202747">
              <wp:simplePos x="0" y="0"/>
              <wp:positionH relativeFrom="column">
                <wp:posOffset>-504825</wp:posOffset>
              </wp:positionH>
              <wp:positionV relativeFrom="paragraph">
                <wp:posOffset>838835</wp:posOffset>
              </wp:positionV>
              <wp:extent cx="7019925" cy="1403985"/>
              <wp:effectExtent l="0" t="0" r="0" b="57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8E4E57" w:rsidRPr="00204CF2" w:rsidRDefault="008E4E57" w:rsidP="008E4E57">
                          <w:pPr>
                            <w:spacing w:after="0"/>
                            <w:jc w:val="center"/>
                            <w:rPr>
                              <w:rFonts w:ascii="Arial" w:hAnsi="Arial" w:cs="Arial"/>
                              <w:b/>
                              <w:color w:val="FFFFFF" w:themeColor="background1"/>
                              <w:sz w:val="16"/>
                              <w:szCs w:val="16"/>
                            </w:rPr>
                          </w:pP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44F962" id="_x0000_t202" coordsize="21600,21600" o:spt="202" path="m,l,21600r21600,l21600,xe">
              <v:stroke joinstyle="miter"/>
              <v:path gradientshapeok="t" o:connecttype="rect"/>
            </v:shapetype>
            <v:shape id="_x0000_s1028" type="#_x0000_t202" style="position:absolute;margin-left:-39.75pt;margin-top:66.05pt;width:552.7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" filled="f" stroked="f">
              <v:textbox style="mso-fit-shape-to-text:t">
                <w:txbxContent>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8E4E57" w:rsidRPr="00204CF2" w:rsidRDefault="008E4E57" w:rsidP="008E4E57">
                    <w:pPr>
                      <w:spacing w:after="0"/>
                      <w:jc w:val="center"/>
                      <w:rPr>
                        <w:rFonts w:ascii="Arial" w:hAnsi="Arial" w:cs="Arial"/>
                        <w:b/>
                        <w:color w:val="FFFFFF" w:themeColor="background1"/>
                        <w:sz w:val="16"/>
                        <w:szCs w:val="16"/>
                      </w:rPr>
                    </w:pP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Pr>
        <w:noProof/>
        <w:lang w:eastAsia="en-AU"/>
      </w:rPr>
      <w:drawing>
        <wp:anchor distT="0" distB="0" distL="114300" distR="114300" simplePos="0" relativeHeight="251659264" behindDoc="1" locked="0" layoutInCell="1" allowOverlap="1" wp14:anchorId="1059F8F4" wp14:editId="66B06688">
          <wp:simplePos x="0" y="0"/>
          <wp:positionH relativeFrom="column">
            <wp:posOffset>-923925</wp:posOffset>
          </wp:positionH>
          <wp:positionV relativeFrom="paragraph">
            <wp:posOffset>-13335</wp:posOffset>
          </wp:positionV>
          <wp:extent cx="7581900" cy="1829244"/>
          <wp:effectExtent l="0" t="0" r="0" b="0"/>
          <wp:wrapNone/>
          <wp:docPr id="4" name="Picture 4"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E2E7D"/>
    <w:multiLevelType w:val="hybridMultilevel"/>
    <w:tmpl w:val="42A05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F0"/>
    <w:rsid w:val="000713A7"/>
    <w:rsid w:val="00074BFD"/>
    <w:rsid w:val="00204CF2"/>
    <w:rsid w:val="00305242"/>
    <w:rsid w:val="00430AF0"/>
    <w:rsid w:val="00561535"/>
    <w:rsid w:val="005E71D8"/>
    <w:rsid w:val="005F05C7"/>
    <w:rsid w:val="00792C55"/>
    <w:rsid w:val="008E4E57"/>
    <w:rsid w:val="00900874"/>
    <w:rsid w:val="009C4CF9"/>
    <w:rsid w:val="00AF7EAD"/>
    <w:rsid w:val="00C33CD1"/>
    <w:rsid w:val="00E034BF"/>
    <w:rsid w:val="00E4595F"/>
    <w:rsid w:val="00EE4E87"/>
    <w:rsid w:val="00FD06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14561924-7C68-41EC-B16E-B3DDB085C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810A7C125CF545B5175E84E263442F" ma:contentTypeVersion="2" ma:contentTypeDescription="Create a new document." ma:contentTypeScope="" ma:versionID="7a9465e5db4c3101db9c015ea85eedd0">
  <xsd:schema xmlns:xsd="http://www.w3.org/2001/XMLSchema" xmlns:xs="http://www.w3.org/2001/XMLSchema" xmlns:p="http://schemas.microsoft.com/office/2006/metadata/properties" xmlns:ns1="http://schemas.microsoft.com/sharepoint/v3" targetNamespace="http://schemas.microsoft.com/office/2006/metadata/properties" ma:root="true" ma:fieldsID="87d3cb4b24fe3e478206f0bf5623f9ef"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8792076-CB3E-490E-BABE-B643C6A06F32}"/>
</file>

<file path=customXml/itemProps2.xml><?xml version="1.0" encoding="utf-8"?>
<ds:datastoreItem xmlns:ds="http://schemas.openxmlformats.org/officeDocument/2006/customXml" ds:itemID="{DECD5084-0217-4903-BA69-79D86D318AE4}"/>
</file>

<file path=customXml/itemProps3.xml><?xml version="1.0" encoding="utf-8"?>
<ds:datastoreItem xmlns:ds="http://schemas.openxmlformats.org/officeDocument/2006/customXml" ds:itemID="{B440D2AF-E958-4BD9-9732-ED84AD2DC424}"/>
</file>

<file path=customXml/itemProps4.xml><?xml version="1.0" encoding="utf-8"?>
<ds:datastoreItem xmlns:ds="http://schemas.openxmlformats.org/officeDocument/2006/customXml" ds:itemID="{D7AA0A3A-167D-41C7-8A90-C408C07F48A7}"/>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2017-08-16T05:08:00Z</dcterms:created>
  <dcterms:modified xsi:type="dcterms:W3CDTF">2017-08-16T05:08:00Z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0x0101006A810A7C125CF545B5175E84E263442F</vt:lpwstr>
  </property>
</Properties>
</file>